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ДОГОВОР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№_/ТКО-2025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на оказание услуг по обращению с твердыми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коммунальными отходами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-142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284" w:leader="none"/>
        </w:tabs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   г. Нарьян-Мар, НАО.                                                          «____» ________________ 202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года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</w:p>
    <w:p>
      <w:pPr>
        <w:pStyle w:val="844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284" w:leader="none"/>
        </w:tabs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Муниципальное предприятие Заполярного района «Севержилкомсервис»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, далее именуемое - «Региональный оператор»,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в лице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заместителя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генерального директора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по производству Сухопарова Дмитрия Андреевича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 действующего на основании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Приказа от 09.01.2025 №6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, с одной стороны 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</w:p>
    <w:p>
      <w:pPr>
        <w:pStyle w:val="844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_______________________________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,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именуемое в дальнейшем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«П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отребител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ь»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, в лице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_________________________________________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______________________________,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действующего на основании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_____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_______________________________________________________________,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 другой стороны, именуемые в дальнейшем сторонами, заключили </w:t>
      </w:r>
      <w:r>
        <w:rPr>
          <w:rFonts w:ascii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договор на оказание услуг по обращению с твердыми коммунальными отходами, далее именуемый – «Договор», о нижеследующем</w:t>
      </w:r>
      <w:r>
        <w:rPr>
          <w:rFonts w:ascii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: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I.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Предмет договора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1. По договору на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 Объем твердых коммунальных отходов, места (площадки) накопления твердых коммунальных отходов,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(за исключением жилых домов) определяются согласно </w:t>
      </w:r>
      <w:hyperlink w:tooltip="#P159" w:anchor="P159" w:history="1">
        <w:r>
          <w:rPr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0000ff"/>
            <w:spacing w:val="0"/>
            <w:position w:val="0"/>
            <w:sz w:val="24"/>
            <w:szCs w:val="24"/>
            <w:highlight w:val="none"/>
            <w:u w:val="none"/>
            <w:vertAlign w:val="baseline"/>
            <w:rtl w:val="0"/>
            <w:cs w:val="0"/>
            <w14:ligatures w14:val="none"/>
          </w:rPr>
          <w:t xml:space="preserve">приложению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ff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1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к настоящему договору.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3. Способ складирования твердых коммунальных отходов -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_____________________________________________________________________________________________,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     (в контейнеры (ёмкости/бункеры), расположенные на зарегистрированных контейнерных площадках или в пакеты (ёмкости по типу big-bag), предоставленные региональным оператором, - указать нужное)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   в том числе крупногабаритных отходов - ________________________________________________________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_____________________________________________________________________________________________.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   (в бункеры, расположенные на контейнерных площадках, на специальных площадках складирования крупногабаритных отходов - указать нужное)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4. Дата начала оказания услуг по обращению с твердыми коммунальными отходами "__" ____________ 20__ г.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II. Сроки и порядок оплаты по договору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539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5.  Под расчетным периодом по настоящему договору понимается один календарный месяц. 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      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Стоимость услуг по настоящему договору определяется произве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дением тарифа, утвержденного Управлением по государственному регулированию цен (тарифов) Ненецкого автономного округа в установленном порядке, на услугу регионального оператора по обращению с твердыми коммунальными отходами в объёме, определённым расчётным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путём исходя из: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53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□ нормативов накопления твердых коммунальных отходов в показателях объе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ма и (или) массы и количества расчетных единиц, используемых при определении нормативов накопления твердых коммунальных отходов, утверждённых Департаментом строительства, жилищно-коммунального хозяйства, энергетики и транспорта Ненецкого автономного округа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br/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br/>
        <w:t xml:space="preserve">□ количества и объема контейнеров (бункеров/ёмкостей) для накопления твердых коммунальных отходов, установленных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в местах (площадках) накопления твердых коммунальных отходов, в которых осуществляется складирование твердых коммунальных отходов, в показателях объема и (или) массы с учетом графика вывоза, а также с учетом средней плотности твердых коммунальных отходов.)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539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5.1.    При утверждении в установленном порядке новых размеров тарифа на услуги Регионального оператора стоимость услуг по настоящему договору изменяется в соответствии с вновь установленным тарифом с начала их дейст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вия. Изменение стоимости услуг по обращению с твердыми коммунальными отходами Региональный оператор отражает в очередном счете на оплату, направленном Потребителю. Заключение дополнительного соглашения к настоящему договору в указанном случае не требуется.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539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5.2.    Информирование Потребителя об изменении стоимости услуг по обращению с твердыми коммунальными отходами осуществляется Региональным оператором в соответствии со стандартами раскрытия инф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ормации в области обращения с твердыми коммунальными отходами, утвержденными законодательством Российской Федерации, а также путем размещения информации на официальном сайте Регионального оператора в информационно-телекоммуникационной сети «Интернет»: www.</w:t>
      </w:r>
      <w:hyperlink r:id="rId9" w:tooltip="mailto:ogks@atnet.ru" w:history="1">
        <w:r>
          <w:rPr>
            <w:rStyle w:val="846"/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auto"/>
            <w:spacing w:val="0"/>
            <w:position w:val="0"/>
            <w:sz w:val="24"/>
            <w:szCs w:val="28"/>
            <w:highlight w:val="none"/>
            <w:u w:val="none"/>
            <w:vertAlign w:val="baseline"/>
            <w:rtl w:val="0"/>
            <w:cs w:val="0"/>
            <w14:ligatures w14:val="none"/>
          </w:rPr>
          <w:t xml:space="preserve">sgks.ru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, </w:t>
      </w:r>
      <w:hyperlink r:id="rId10" w:tooltip="http://www.pravo.gov.ru/" w:history="1">
        <w:r>
          <w:rPr>
            <w:rStyle w:val="846"/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auto"/>
            <w:spacing w:val="0"/>
            <w:position w:val="0"/>
            <w:sz w:val="24"/>
            <w:szCs w:val="28"/>
            <w:highlight w:val="none"/>
            <w:u w:val="none"/>
            <w:vertAlign w:val="baseline"/>
            <w:rtl w:val="0"/>
            <w:cs w:val="0"/>
            <w14:ligatures w14:val="none"/>
          </w:rPr>
          <w:t xml:space="preserve">www.pravo.gov.ru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539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5.3.    Стороны признают размещение информации в информационно-телекоммуникационной сети «Интернет» на официальном сайте Регионального оператора надлежащим уведомлением.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539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5.4.    Региональный опера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тор после истечения расчетного периода (месяца) в котором услуга оказывалась, формирует и направляет Потребителю Универсальный передаточный документ, содержащий счет-фактуру и передаточный документ (акт) Статус 1, Приложение N 1 к постановлению Правительст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ва Российской Федерации от 26 декабря 2011 года N 1137 (далее – «УПД»). Стороны договорились, что в целях упрощения документооборота, УПД так же, будет являться первичным документов, подтверждающим оказанную Потребителю услугу по настоящему договору.      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539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5.5.    УПД направляется Потребителю почтовым отправлением – простой почтой в адрес указанной Потребителем в разделе 13 настоящего догов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ора. Потребитель обязуется принять от Регионального оператора указанный УПД и не позднее месяца следующего за расчетным вернуть Региональному оператору подписанный со своей стороны оригинал второго экземпляра данного универсального передаточного документа.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539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5.6.    В случае если Потребитель не получил УПД за отчетный месяц по независящим от Регионального оператора причинам или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не направил в месячный срок после истечения расчетного периода в адрес Регионального оператора подписанные экземпляры УПД либо мотивированный отказ от подписания, услуги считаются оказанными Региональным оператором в полном объеме и принятыми Потребителем.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5.7.    Отсутствие подписанного Потребителем УПД, не является основанием для неоплаты Потребителем стоимости оказанных ему услуг по договору и неустойки.  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6. Потребитель (за исключением потребителей в многоквартирных домах и жилых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домах) оплачивает услуги по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обращению с твердыми коммунальными отходами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на основании </w:t>
      </w:r>
      <w:bookmarkStart w:id="0" w:name="_Hlk28594707"/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предъявленного Региональным оператором счёта-фактуры </w:t>
      </w:r>
      <w:bookmarkEnd w:id="0"/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(универсального передаточного документа) </w:t>
      </w:r>
      <w:bookmarkStart w:id="1" w:name="_Hlk28594754"/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 течение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7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(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семи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) рабочих дней с момента его получения и подписания Потребителем</w:t>
      </w:r>
      <w:bookmarkEnd w:id="1"/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7.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Сторона, инициирующая проведение свер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III. Права и обязанности сторон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8. Региональный оператор обязан: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а) принимать твердые коммунальные отходы в объеме и в месте, которые определены в </w:t>
      </w:r>
      <w:hyperlink w:tooltip="#P159" w:anchor="P159" w:history="1">
        <w:r>
          <w:rPr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0000ff"/>
            <w:spacing w:val="0"/>
            <w:position w:val="0"/>
            <w:sz w:val="24"/>
            <w:szCs w:val="24"/>
            <w:highlight w:val="none"/>
            <w:u w:val="none"/>
            <w:vertAlign w:val="baseline"/>
            <w:rtl w:val="0"/>
            <w:cs w:val="0"/>
            <w14:ligatures w14:val="none"/>
          </w:rPr>
          <w:t xml:space="preserve">приложении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№1 к настоящему договору;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9. Региональный оператор имеет право: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а) осуществлять контроль за учетом объема и (или) массы принятых твердых коммунальных отходов;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б) инициировать проведение сверки расчетов по настоящему договору.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10. Потребитель обязан: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а) осуществлять складирование твердых коммунальных отходов в местах накопления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б) обеспечивать учет объема и (или) массы твердых коммунальных отходов в соответствии с </w:t>
      </w:r>
      <w:hyperlink r:id="rId11" w:tooltip="https://login.consultant.ru/link/?req=doc&amp;base=LAW&amp;n=307322&amp;dst=100008" w:history="1">
        <w:r>
          <w:rPr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0000ff"/>
            <w:spacing w:val="0"/>
            <w:position w:val="0"/>
            <w:sz w:val="24"/>
            <w:szCs w:val="24"/>
            <w:highlight w:val="none"/>
            <w:u w:val="none"/>
            <w:vertAlign w:val="baseline"/>
            <w:rtl w:val="0"/>
            <w:cs w:val="0"/>
            <w14:ligatures w14:val="none"/>
          </w:rPr>
          <w:t xml:space="preserve">Правилами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24.05.2024 N 671 "О коммерческом учете объема и (или) массы твердых коммунальных отходов";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в) производить оплату по настоящему договору в порядке, размере и сроки, которые определены настоящим договором;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г) обеспечивать складирование твердых коммунальных отходов в контейнеры или иные места в соответствии с приложением №1 к настоящему договору;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е) назначить лицо, ответственное за взаимодействие с региональным оператором по вопросам исполнения настоящего договора;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ж) уведомить регионального оператора любым доступным способом (поч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товое отправление, телеграмма, факсограмма,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собственнику;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з) обеспечить получение юридически важных сообщений и документов, включая платежные документы, в соответствии с указанными в настоящем Договоре реквизитами.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11. Потребитель имеет право: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б) инициировать проведение сверки расчетов по настоящему договору.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IV. Порядок осуществления учета объема и (или) массы твердых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коммунальных отходов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   12.  Стороны согласились производить учет объема и (или) массы твердых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коммунальных отходов в соответствии с </w:t>
      </w:r>
      <w:hyperlink r:id="rId12" w:tooltip="https://login.consultant.ru/link/?req=doc&amp;base=LAW&amp;n=307322&amp;dst=100008" w:history="1">
        <w:r>
          <w:rPr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0000ff"/>
            <w:spacing w:val="0"/>
            <w:position w:val="0"/>
            <w:sz w:val="24"/>
            <w:szCs w:val="28"/>
            <w:highlight w:val="none"/>
            <w:u w:val="none"/>
            <w:vertAlign w:val="baseline"/>
            <w:rtl w:val="0"/>
            <w:cs w:val="0"/>
            <w14:ligatures w14:val="none"/>
          </w:rPr>
          <w:t xml:space="preserve">Правилами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1 коммерческого учета объема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 (или) массы твердых коммунальных отходов, утвержденными Постановлением Правительства Российской Федерации от 24.05.2024 N 671 "О коммерческом учете объема и (или) массы твердых коммунальных отходов", следующим способом: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_____________________________________________________________________________________________.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(расчетным путем исходя из нормативов накопления твердых коммунальных   отходов, количества и объема контейнеров для складирования твердых коммунальных отходов - нужное указать)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V. Порядок фиксации нарушений по договору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13. В случае нарушения региональным оператором обязательств по настоящему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договору потребитель с участием предста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Региональный оператор в течение 3 рабочих дней со дня получения акта подписывает его и нап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14.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15.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16. Акт должен содержать: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а) сведения о заявителе (наименование, местонахождение, адрес);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в) сведения о нарушении соответствующих пунктов договора;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г) другие сведения по усмотрению стороны, в том числе материалы фото- и видеосъемки.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17.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VI. Ответственность сторон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8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19.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</w:t>
      </w:r>
      <w:hyperlink r:id="rId13" w:tooltip="https://login.consultant.ru/link/?req=doc&amp;base=LAW&amp;n=12453&amp;dst=100163" w:history="1">
        <w:r>
          <w:rPr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0000ff"/>
            <w:spacing w:val="0"/>
            <w:position w:val="0"/>
            <w:sz w:val="24"/>
            <w:szCs w:val="24"/>
            <w:highlight w:val="none"/>
            <w:u w:val="none"/>
            <w:vertAlign w:val="baseline"/>
            <w:rtl w:val="0"/>
            <w:cs w:val="0"/>
            <w14:ligatures w14:val="none"/>
          </w:rPr>
          <w:t xml:space="preserve">ставки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20. За нарушение правил обращения с тве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VII. Обстоятельства непреодолимой силы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22. Сторона, подвергшаяся действию обстоятельств непреодолимой силы, обязана предпринять все необходимые действия для извещения другой стор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VIII. Действие договора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539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23. Настоящий договор заключается на срок ___________________________________.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4"/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(указывается срок)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24.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25. Настоящий договор может быть расторгнут до окончания срока его действия по соглашению сторон.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X. Прочие условия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26.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27. В случае изменения наименова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28.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4" w:tooltip="https://login.consultant.ru/link/?req=doc&amp;base=LAW&amp;n=471232" w:history="1">
        <w:r>
          <w:rPr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0000ff"/>
            <w:spacing w:val="0"/>
            <w:position w:val="0"/>
            <w:sz w:val="24"/>
            <w:szCs w:val="24"/>
            <w:highlight w:val="none"/>
            <w:u w:val="none"/>
            <w:vertAlign w:val="baseline"/>
            <w:rtl w:val="0"/>
            <w:cs w:val="0"/>
            <w14:ligatures w14:val="none"/>
          </w:rPr>
          <w:t xml:space="preserve">закона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29. Настоящий договор составлен в 2 экземплярах, имеющих равную юридическую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силу.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30. </w:t>
      </w:r>
      <w:hyperlink w:tooltip="#P159" w:anchor="P159" w:history="1">
        <w:r>
          <w:rPr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0000ff"/>
            <w:spacing w:val="0"/>
            <w:position w:val="0"/>
            <w:sz w:val="24"/>
            <w:szCs w:val="24"/>
            <w:highlight w:val="none"/>
            <w:u w:val="none"/>
            <w:vertAlign w:val="baseline"/>
            <w:rtl w:val="0"/>
            <w:cs w:val="0"/>
            <w14:ligatures w14:val="none"/>
          </w:rPr>
          <w:t xml:space="preserve">Приложение №1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к настоящему договору является его неотъемлемой частью.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22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31. Подписи и реквизиты сторон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: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-142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284" w:leader="none"/>
          <w:tab w:val="left" w:pos="9639" w:leader="none"/>
        </w:tabs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Региональный оператор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: 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МП ЗР «Севержилкомсервис»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-142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284" w:leader="none"/>
          <w:tab w:val="left" w:pos="9900" w:leader="none"/>
        </w:tabs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Адрес (почтовый и местонахождения): 166000, Ненецкий автономный округ, г. Нарьян-Мар, ул. Рыбников, д. 17Б.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-142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284" w:leader="none"/>
          <w:tab w:val="left" w:pos="9900" w:leader="none"/>
        </w:tabs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Тел: 8 (818 53) 4 29 60 (руководитель); 8 (818 53) 4 94 58 (гл. бухгалтер). Адрес электронной почты – </w:t>
      </w:r>
      <w:hyperlink r:id="rId15" w:tooltip="mailto:42960@sgks.ru" w:history="1">
        <w:r>
          <w:rPr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0000ff"/>
            <w:spacing w:val="0"/>
            <w:position w:val="0"/>
            <w:sz w:val="24"/>
            <w:szCs w:val="24"/>
            <w:highlight w:val="none"/>
            <w:u w:val="single"/>
            <w:vertAlign w:val="baseline"/>
            <w:rtl w:val="0"/>
            <w:cs w:val="0"/>
            <w14:ligatures w14:val="none"/>
          </w:rPr>
          <w:t xml:space="preserve">42960@</w:t>
        </w:r>
        <w:r>
          <w:rPr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0000ff"/>
            <w:spacing w:val="0"/>
            <w:position w:val="0"/>
            <w:sz w:val="24"/>
            <w:szCs w:val="24"/>
            <w:highlight w:val="none"/>
            <w:u w:val="single"/>
            <w:vertAlign w:val="baseline"/>
            <w:rtl w:val="0"/>
            <w:cs w:val="0"/>
            <w:lang w:val="en-US"/>
            <w14:ligatures w14:val="none"/>
          </w:rPr>
          <w:t xml:space="preserve">sgks</w:t>
        </w:r>
        <w:r>
          <w:rPr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0000ff"/>
            <w:spacing w:val="0"/>
            <w:position w:val="0"/>
            <w:sz w:val="24"/>
            <w:szCs w:val="24"/>
            <w:highlight w:val="none"/>
            <w:u w:val="single"/>
            <w:vertAlign w:val="baseline"/>
            <w:rtl w:val="0"/>
            <w:cs w:val="0"/>
            <w14:ligatures w14:val="none"/>
          </w:rPr>
          <w:t xml:space="preserve">.</w:t>
        </w:r>
        <w:r>
          <w:rPr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0000ff"/>
            <w:spacing w:val="0"/>
            <w:position w:val="0"/>
            <w:sz w:val="24"/>
            <w:szCs w:val="24"/>
            <w:highlight w:val="none"/>
            <w:u w:val="single"/>
            <w:vertAlign w:val="baseline"/>
            <w:rtl w:val="0"/>
            <w:cs w:val="0"/>
            <w:lang w:val="en-US"/>
            <w14:ligatures w14:val="none"/>
          </w:rPr>
          <w:t xml:space="preserve">ru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-142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284" w:leader="none"/>
          <w:tab w:val="left" w:pos="9900" w:leader="none"/>
        </w:tabs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ИНН 8300010685. КПП 298301001. ОГРН 1038302271040. ОКПО 26042800.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-142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284" w:leader="none"/>
          <w:tab w:val="left" w:pos="9900" w:leader="none"/>
        </w:tabs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Р/сч. </w:t>
      </w:r>
      <w:r>
        <w:rPr>
          <w:rFonts w:ascii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40702810504210100503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Архангельское Отделение № 8637 ПАО Сбербанка БИК 041117601. К/сч. 30101810100000000601.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-142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9639" w:leader="none"/>
        </w:tabs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Потребитель: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</w:r>
    </w:p>
    <w:p>
      <w:pPr>
        <w:contextualSpacing w:val="0"/>
        <w:ind w:left="-142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9639" w:leader="none"/>
        </w:tabs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  <w:t xml:space="preserve">Адрес (почтовый и местонахождения):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  <w:t xml:space="preserve">___________________________________________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  <w:t xml:space="preserve"> ИНН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  <w:t xml:space="preserve">________________________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</w:r>
    </w:p>
    <w:p>
      <w:pPr>
        <w:contextualSpacing w:val="0"/>
        <w:ind w:left="-142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9639" w:leader="none"/>
        </w:tabs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  <w:t xml:space="preserve">КПП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  <w:t xml:space="preserve">________________________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</w:r>
    </w:p>
    <w:p>
      <w:pPr>
        <w:contextualSpacing w:val="0"/>
        <w:ind w:left="-142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9639" w:leader="none"/>
        </w:tabs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  <w:t xml:space="preserve">ОГРН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  <w:t xml:space="preserve">_______________________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</w:r>
    </w:p>
    <w:p>
      <w:pPr>
        <w:contextualSpacing w:val="0"/>
        <w:ind w:left="-142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9639" w:leader="none"/>
        </w:tabs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  <w:t xml:space="preserve">Реквизиты банка: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</w:r>
    </w:p>
    <w:p>
      <w:pPr>
        <w:contextualSpacing w:val="0"/>
        <w:ind w:left="-142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9639" w:leader="none"/>
        </w:tabs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  <w:t xml:space="preserve">Расчетный счет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</w:r>
    </w:p>
    <w:p>
      <w:pPr>
        <w:contextualSpacing w:val="0"/>
        <w:ind w:left="-142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9639" w:leader="none"/>
        </w:tabs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  <w:t xml:space="preserve">Тел./факс: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  <w:t xml:space="preserve">___________________________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  <w:t xml:space="preserve">, адрес электронной почты: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/>
          <w14:ligatures w14:val="none"/>
        </w:rPr>
        <w:t xml:space="preserve">_________________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eastAsia="ru-RU" w:bidi="ru-RU"/>
          <w14:ligatures w14:val="none"/>
        </w:rPr>
      </w:r>
    </w:p>
    <w:p>
      <w:pPr>
        <w:contextualSpacing w:val="0"/>
        <w:ind w:left="567" w:right="0" w:firstLine="426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9639" w:leader="none"/>
        </w:tabs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eastAsia="ru-RU"/>
          <w14:ligatures w14:val="none"/>
        </w:rPr>
      </w:r>
    </w:p>
    <w:p>
      <w:pPr>
        <w:contextualSpacing w:val="0"/>
        <w:ind w:left="-142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284" w:leader="none"/>
          <w:tab w:val="left" w:pos="9900" w:leader="none"/>
        </w:tabs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5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 </w:t>
      </w:r>
      <w:bookmarkStart w:id="2" w:name="_Hlk187842667"/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Региональный оператор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        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Потребитель</w:t>
      </w:r>
      <w:bookmarkEnd w:id="2"/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Style w:val="847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154"/>
        <w:gridCol w:w="4672"/>
      </w:tblGrid>
      <w:tr>
        <w:tblPrEx/>
        <w:trPr>
          <w:gridAfter w:val="1"/>
          <w:trHeight w:val="80"/>
        </w:trPr>
        <w:tc>
          <w:tcPr>
            <w:gridSpan w:val="2"/>
            <w:tcW w:w="4826" w:type="dxa"/>
            <w:textDirection w:val="lrTb"/>
            <w:noWrap w:val="false"/>
          </w:tcPr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gridAfter w:val="1"/>
          <w:trHeight w:val="80"/>
        </w:trPr>
        <w:tc>
          <w:tcPr>
            <w:gridSpan w:val="2"/>
            <w:tcW w:w="4826" w:type="dxa"/>
            <w:textDirection w:val="lrTb"/>
            <w:noWrap w:val="false"/>
          </w:tcPr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442"/>
        </w:trPr>
        <w:tc>
          <w:tcPr>
            <w:tcW w:w="4672" w:type="dxa"/>
            <w:textDirection w:val="lrTb"/>
            <w:noWrap w:val="false"/>
          </w:tcPr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Заместитель г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енеральн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ого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директор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 производству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___________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____________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Сухопаров Д.А.</w:t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.п.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                                        </w:t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2"/>
            <w:tcW w:w="4826" w:type="dxa"/>
            <w:textDirection w:val="lrTb"/>
            <w:noWrap w:val="false"/>
          </w:tcPr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Руководитель</w:t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__________________________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.п.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497"/>
        </w:trPr>
        <w:tc>
          <w:tcPr>
            <w:tcW w:w="4672" w:type="dxa"/>
            <w:textDirection w:val="lrTb"/>
            <w:noWrap w:val="false"/>
          </w:tcPr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"__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_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" ________________ 20__ г</w:t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2"/>
            <w:tcW w:w="4826" w:type="dxa"/>
            <w:textDirection w:val="lrTb"/>
            <w:noWrap w:val="false"/>
          </w:tcPr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"__" ________________ 20__ г</w:t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</w:tbl>
    <w:p>
      <w:pPr>
        <w:pStyle w:val="845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5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br w:type="page" w:clear="all"/>
      </w: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 №1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к типовому договору на оказание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услуг по обращению с твердыми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коммунальными отходами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bookmarkStart w:id="3" w:name="P159"/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bookmarkEnd w:id="3"/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ИНФОРМАЦИЯ ПО ПРЕДМЕТУ ДОГОВОРА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1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I. Объем и место (площадка) накопления твердых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коммунальных отходов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W w:w="10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99"/>
        <w:gridCol w:w="1651"/>
        <w:gridCol w:w="1842"/>
        <w:gridCol w:w="1906"/>
        <w:gridCol w:w="2119"/>
        <w:gridCol w:w="1945"/>
      </w:tblGrid>
      <w:tr>
        <w:tblPrEx/>
        <w:trPr>
          <w:trHeight w:val="1561"/>
        </w:trPr>
        <w:tc>
          <w:tcPr>
            <w:tcW w:w="699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N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п/п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651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Наименование объекта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Объем принимаемых твердых коммунальных отходов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06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Место (площадка) накопления твердых коммунальных отходов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2119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Место (площадка) накопления крупногабаритных отходов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Периодичность вывоза твердых коммунальных отходов</w:t>
            </w:r>
            <w:r>
              <w:rPr>
                <w:rStyle w:val="855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footnoteReference w:id="2"/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267"/>
        </w:trPr>
        <w:tc>
          <w:tcPr>
            <w:tcW w:w="699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651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06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2119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281"/>
        </w:trPr>
        <w:tc>
          <w:tcPr>
            <w:tcW w:w="699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651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06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2119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295"/>
        </w:trPr>
        <w:tc>
          <w:tcPr>
            <w:tcW w:w="699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651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06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2119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</w:tbl>
    <w:p>
      <w:pPr>
        <w:pStyle w:val="843"/>
        <w:contextualSpacing w:val="0"/>
        <w:ind w:left="0" w:right="0" w:firstLine="54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1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II. Информация в графическом виде о размещении мест (площадок) накопления твердых коммунальных отходов и подъездных путей к ним (за исключением жилых домов)</w:t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5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5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5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5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1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 </w:t>
      </w:r>
      <w:r>
        <w:rPr>
          <w:rFonts w:ascii="Courier New" w:hAnsi="Courier New" w:cs="Courier New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Style w:val="847"/>
        <w:tblW w:w="48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26"/>
      </w:tblGrid>
      <w:tr>
        <w:tblPrEx/>
        <w:trPr/>
        <w:tc>
          <w:tcPr>
            <w:tcW w:w="4826" w:type="dxa"/>
            <w:textDirection w:val="lrTb"/>
            <w:noWrap w:val="false"/>
          </w:tcPr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4826" w:type="dxa"/>
            <w:textDirection w:val="lrTb"/>
            <w:noWrap w:val="false"/>
          </w:tcPr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bookmarkStart w:id="4" w:name="_Hlk187842570"/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bookmarkEnd w:id="4"/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</w:tbl>
    <w:p>
      <w:pPr>
        <w:pStyle w:val="667"/>
        <w:contextualSpacing w:val="0"/>
        <w:ind w:left="0" w:right="0" w:firstLine="0"/>
        <w:jc w:val="left"/>
        <w:keepLines/>
        <w:keepNext/>
        <w:pageBreakBefore w:val="0"/>
        <w:spacing w:before="40" w:beforeAutospacing="0" w:after="0" w:afterAutospacing="0" w:line="259" w:lineRule="auto"/>
        <w:shd w:val="nil" w:color="ffffff"/>
        <w:widowControl/>
        <w:rPr>
          <w:rFonts w:asciiTheme="majorHAnsi" w:hAnsiTheme="majorHAnsi" w:eastAsiaTheme="majorEastAsia" w:cstheme="majorBidi"/>
          <w:b w:val="0"/>
          <w:bCs w:val="0"/>
          <w:i w:val="0"/>
          <w:iCs w:val="0"/>
          <w:caps w:val="0"/>
          <w:smallCaps w:val="0"/>
          <w:strike w:val="0"/>
          <w:vanish w:val="0"/>
          <w:color w:val="2e74b5" w:themeColor="accent1" w:themeShade="BF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ectPr>
          <w:footnotePr/>
          <w:endnotePr/>
          <w:type w:val="nextPage"/>
          <w:pgSz w:w="11906" w:h="16838" w:orient="portrait"/>
          <w:pgMar w:top="1134" w:right="850" w:bottom="1276" w:left="1701" w:header="709" w:footer="709" w:gutter="0"/>
          <w:cols w:num="1" w:sep="0" w:space="708" w:equalWidth="1"/>
          <w:docGrid w:linePitch="360"/>
        </w:sectPr>
        <w:outlineLvl w:val="1"/>
        <w:suppressLineNumbers w:val="0"/>
      </w:pPr>
      <w:r>
        <w:rPr>
          <w:rFonts w:asciiTheme="majorHAnsi" w:hAnsiTheme="majorHAnsi" w:eastAsiaTheme="majorEastAsia" w:cstheme="majorBidi"/>
          <w:b w:val="0"/>
          <w:bCs w:val="0"/>
          <w:i w:val="0"/>
          <w:iCs w:val="0"/>
          <w:caps w:val="0"/>
          <w:smallCaps w:val="0"/>
          <w:strike w:val="0"/>
          <w:vanish w:val="0"/>
          <w:color w:val="2e74b5" w:themeColor="accent1" w:themeShade="BF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Theme="majorHAnsi" w:hAnsiTheme="majorHAnsi" w:eastAsiaTheme="majorEastAsia" w:cstheme="majorBidi"/>
          <w:b w:val="0"/>
          <w:bCs w:val="0"/>
          <w:i w:val="0"/>
          <w:iCs w:val="0"/>
          <w:caps w:val="0"/>
          <w:smallCaps w:val="0"/>
          <w:strike w:val="0"/>
          <w:vanish w:val="0"/>
          <w:color w:val="2e74b5" w:themeColor="accent1" w:themeShade="BF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67"/>
        <w:contextualSpacing w:val="0"/>
        <w:ind w:left="0" w:right="0" w:firstLine="0"/>
        <w:jc w:val="left"/>
        <w:keepLines/>
        <w:keepNext/>
        <w:pageBreakBefore w:val="0"/>
        <w:spacing w:before="40" w:beforeAutospacing="0" w:after="0" w:afterAutospacing="0" w:line="259" w:lineRule="auto"/>
        <w:shd w:val="nil" w:color="ffffff"/>
        <w:widowControl/>
        <w:rPr>
          <w:rFonts w:asciiTheme="majorHAnsi" w:hAnsiTheme="majorHAnsi" w:eastAsiaTheme="majorEastAsia" w:cstheme="majorBidi"/>
          <w:b w:val="0"/>
          <w:bCs w:val="0"/>
          <w:i w:val="0"/>
          <w:iCs w:val="0"/>
          <w:caps w:val="0"/>
          <w:smallCaps w:val="0"/>
          <w:strike w:val="0"/>
          <w:vanish w:val="0"/>
          <w:color w:val="2e74b5" w:themeColor="accent1" w:themeShade="BF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1"/>
        <w:suppressLineNumbers w:val="0"/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III. Предварительный расчёт стоимости договора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3"/>
        <w:contextualSpacing w:val="0"/>
        <w:ind w:left="0" w:right="0" w:firstLine="54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Calibri" w:hAnsi="Calibri" w:cs="Calibri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Style w:val="847"/>
        <w:tblpPr w:horzAnchor="text" w:tblpX="-318" w:vertAnchor="text" w:tblpY="1" w:leftFromText="180" w:topFromText="0" w:rightFromText="180" w:bottomFromText="0"/>
        <w:tblW w:w="15446" w:type="dxa"/>
        <w:tblLayout w:type="fixed"/>
        <w:tblLook w:val="04A0" w:firstRow="1" w:lastRow="0" w:firstColumn="1" w:lastColumn="0" w:noHBand="0" w:noVBand="1"/>
      </w:tblPr>
      <w:tblGrid>
        <w:gridCol w:w="2315"/>
        <w:gridCol w:w="1596"/>
        <w:gridCol w:w="858"/>
        <w:gridCol w:w="859"/>
        <w:gridCol w:w="858"/>
        <w:gridCol w:w="859"/>
        <w:gridCol w:w="858"/>
        <w:gridCol w:w="859"/>
        <w:gridCol w:w="858"/>
        <w:gridCol w:w="859"/>
        <w:gridCol w:w="858"/>
        <w:gridCol w:w="859"/>
        <w:gridCol w:w="858"/>
        <w:gridCol w:w="8"/>
        <w:gridCol w:w="851"/>
        <w:gridCol w:w="8"/>
        <w:gridCol w:w="1225"/>
      </w:tblGrid>
      <w:tr>
        <w:tblPrEx/>
        <w:trPr>
          <w:trHeight w:val="16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Объект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96" w:type="dxa"/>
            <w:vAlign w:val="center"/>
            <w:textDirection w:val="btLr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 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btLr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Янв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арь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btLr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Фев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раль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btLr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Мар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т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btLr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Апр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ель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btLr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Май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btLr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Июн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ь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btLr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Июл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ь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btLr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Авг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уст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btLr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Сен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тябрь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btLr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Окт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ябрь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btLr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Ноя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брь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btLr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Дек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абрь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3" w:type="dxa"/>
            <w:vAlign w:val="bottom"/>
            <w:textDirection w:val="btLr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Все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го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на год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: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378"/>
        </w:trPr>
        <w:tc>
          <w:tcPr>
            <w:tcW w:w="2315" w:type="dxa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Объект 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596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Объём (м3)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3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378"/>
        </w:trPr>
        <w:tc>
          <w:tcPr>
            <w:tcW w:w="2315" w:type="dxa"/>
            <w:vMerge w:val="continue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596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Сумма (руб.)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3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378"/>
        </w:trPr>
        <w:tc>
          <w:tcPr>
            <w:tcW w:w="2315" w:type="dxa"/>
            <w:vMerge w:val="continue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596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с НДС (руб.)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3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378"/>
        </w:trPr>
        <w:tc>
          <w:tcPr>
            <w:gridSpan w:val="14"/>
            <w:tcBorders>
              <w:right w:val="single" w:color="auto" w:sz="4" w:space="0"/>
            </w:tcBorders>
            <w:tcW w:w="13362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Итого: _______________________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_________________________________________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рублей ____ копеек, с учетом НДС 20%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м3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5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378"/>
        </w:trPr>
        <w:tc>
          <w:tcPr>
            <w:gridSpan w:val="14"/>
            <w:tcBorders>
              <w:right w:val="single" w:color="auto" w:sz="4" w:space="0"/>
            </w:tcBorders>
            <w:tcW w:w="13362" w:type="dxa"/>
            <w:vMerge w:val="continue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руб.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5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378"/>
        </w:trPr>
        <w:tc>
          <w:tcPr>
            <w:gridSpan w:val="14"/>
            <w:tcBorders>
              <w:right w:val="single" w:color="auto" w:sz="4" w:space="0"/>
            </w:tcBorders>
            <w:tcW w:w="13362" w:type="dxa"/>
            <w:vMerge w:val="continue"/>
            <w:textDirection w:val="lrTb"/>
            <w:noWrap w:val="false"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руб.</w:t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5" w:type="dxa"/>
            <w:vAlign w:val="center"/>
            <w:textDirection w:val="lrTb"/>
            <w:noWrap/>
          </w:tcPr>
          <w:p>
            <w:pPr>
              <w:pStyle w:val="843"/>
              <w:contextualSpacing w:val="0"/>
              <w:ind w:left="0" w:right="0" w:firstLine="22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alibri" w:hAnsi="Calibri" w:cs="Calibri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</w:tbl>
    <w:tbl>
      <w:tblPr>
        <w:tblStyle w:val="847"/>
        <w:tblW w:w="120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19"/>
        <w:gridCol w:w="1367"/>
        <w:gridCol w:w="3419"/>
        <w:gridCol w:w="1367"/>
        <w:gridCol w:w="2458"/>
      </w:tblGrid>
      <w:tr>
        <w:tblPrEx/>
        <w:trPr>
          <w:trHeight w:val="697"/>
        </w:trPr>
        <w:tc>
          <w:tcPr>
            <w:gridSpan w:val="5"/>
            <w:tcW w:w="12030" w:type="dxa"/>
            <w:textDirection w:val="lrTb"/>
            <w:noWrap w:val="false"/>
          </w:tcPr>
          <w:p>
            <w:pPr>
              <w:pStyle w:val="667"/>
              <w:contextualSpacing w:val="0"/>
              <w:ind w:left="0" w:right="0" w:firstLine="0"/>
              <w:jc w:val="left"/>
              <w:keepLines/>
              <w:keepNext/>
              <w:pageBreakBefore w:val="0"/>
              <w:spacing w:before="40" w:beforeAutospacing="0" w:after="0" w:afterAutospacing="0" w:line="240" w:lineRule="auto"/>
              <w:shd w:val="nil" w:color="ffffff"/>
              <w:widowControl w:val="off"/>
              <w:rPr>
                <w:rFonts w:asciiTheme="majorHAnsi" w:hAnsiTheme="majorHAnsi" w:eastAsiaTheme="majorEastAsia" w:cstheme="maj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2e74b5" w:themeColor="accent1" w:themeShade="BF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1"/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 w:themeColor="text1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 w:themeColor="text1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667"/>
              <w:contextualSpacing w:val="0"/>
              <w:ind w:left="0" w:right="0" w:firstLine="0"/>
              <w:jc w:val="left"/>
              <w:keepLines/>
              <w:keepNext/>
              <w:pageBreakBefore w:val="0"/>
              <w:spacing w:before="40" w:beforeAutospacing="0" w:after="0" w:afterAutospacing="0" w:line="240" w:lineRule="auto"/>
              <w:shd w:val="nil" w:color="ffffff"/>
              <w:widowControl w:val="off"/>
              <w:rPr>
                <w:rFonts w:asciiTheme="majorHAnsi" w:hAnsiTheme="majorHAnsi" w:eastAsiaTheme="majorEastAsia" w:cstheme="maj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2e74b5" w:themeColor="accent1" w:themeShade="BF"/>
                <w:spacing w:val="0"/>
                <w:position w:val="0"/>
                <w:sz w:val="26"/>
                <w:szCs w:val="26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1"/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 w:themeColor="text1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Тариф установлен Приказом УГРЦ(т) НАО № 54 от 16.12.2024 года:</w:t>
            </w: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 w:themeColor="text1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eastAsia="Courier New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ourier New" w:hAnsi="Courier New" w:eastAsia="Courier New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ourier New" w:hAnsi="Courier New" w:eastAsia="Courier New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269"/>
        </w:trPr>
        <w:tc>
          <w:tcPr>
            <w:tcW w:w="3419" w:type="dxa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left" w:pos="284" w:leader="none"/>
              </w:tabs>
              <w:rPr>
                <w:rFonts w:ascii="Courier New" w:hAnsi="Courier New" w:eastAsia="Courier New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- с 01.01.2025 по 30.06.2025 –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367" w:type="dxa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left" w:pos="284" w:leader="none"/>
              </w:tabs>
              <w:rPr>
                <w:rFonts w:ascii="Courier New" w:hAnsi="Courier New" w:eastAsia="Courier New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11 767,84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3419" w:type="dxa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left" w:pos="284" w:leader="none"/>
              </w:tabs>
              <w:rPr>
                <w:rFonts w:ascii="Courier New" w:hAnsi="Courier New" w:eastAsia="Courier New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руб./м3 (без учета НДС), или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367" w:type="dxa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left" w:pos="284" w:leader="none"/>
              </w:tabs>
              <w:rPr>
                <w:rFonts w:ascii="Courier New" w:hAnsi="Courier New" w:eastAsia="Courier New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14 121,41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2458" w:type="dxa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left" w:pos="284" w:leader="none"/>
              </w:tabs>
              <w:rPr>
                <w:rFonts w:ascii="Courier New" w:hAnsi="Courier New" w:eastAsia="Courier New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руб./м3 (в т.ч. НДС)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559"/>
        </w:trPr>
        <w:tc>
          <w:tcPr>
            <w:tcW w:w="3419" w:type="dxa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left" w:pos="284" w:leader="none"/>
              </w:tabs>
              <w:rPr>
                <w:rFonts w:ascii="Courier New" w:hAnsi="Courier New" w:eastAsia="Courier New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- с 01.07.2025 по 31.12.2025 –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367" w:type="dxa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left" w:pos="284" w:leader="none"/>
              </w:tabs>
              <w:rPr>
                <w:rFonts w:ascii="Courier New" w:hAnsi="Courier New" w:eastAsia="Courier New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12 867,80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3419" w:type="dxa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left" w:pos="284" w:leader="none"/>
              </w:tabs>
              <w:rPr>
                <w:rFonts w:ascii="Courier New" w:hAnsi="Courier New" w:eastAsia="Courier New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руб./м3 (без учета НДС), или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367" w:type="dxa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left" w:pos="284" w:leader="none"/>
              </w:tabs>
              <w:rPr>
                <w:rFonts w:ascii="Courier New" w:hAnsi="Courier New" w:eastAsia="Courier New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15 441,36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2458" w:type="dxa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tabs>
                <w:tab w:val="left" w:pos="284" w:leader="none"/>
              </w:tabs>
              <w:rPr>
                <w:rFonts w:ascii="Courier New" w:hAnsi="Courier New" w:eastAsia="Courier New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руб./м3 (в т.ч. НДС)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Региональный оператор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        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Потребитель</w:t>
      </w: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Style w:val="847"/>
        <w:tblW w:w="127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938"/>
        <w:gridCol w:w="4826"/>
      </w:tblGrid>
      <w:tr>
        <w:tblPrEx/>
        <w:trPr>
          <w:trHeight w:val="442"/>
        </w:trPr>
        <w:tc>
          <w:tcPr>
            <w:tcW w:w="7938" w:type="dxa"/>
            <w:textDirection w:val="lrTb"/>
            <w:noWrap w:val="false"/>
          </w:tcPr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Заместитель генерального директора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 производству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___________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____________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Сухопаров Д.А.</w:t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.п.                                         </w:t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4826" w:type="dxa"/>
            <w:textDirection w:val="lrTb"/>
            <w:noWrap w:val="false"/>
          </w:tcPr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Руководитель</w:t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__________________________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pStyle w:val="845"/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 w:val="off"/>
              <w:rPr>
                <w:rFonts w:ascii="Courier New" w:hAnsi="Courier New" w:cs="Courier New" w:eastAsiaTheme="minor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.п.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</w:tbl>
    <w:p>
      <w:pPr>
        <w:contextualSpacing w:val="0"/>
        <w:ind w:left="0" w:right="0" w:firstLine="708"/>
        <w:jc w:val="left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53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Style w:val="855"/>
          <w:rFonts w:ascii="Times New Roman" w:hAnsi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footnoteRef/>
      </w:r>
      <w:r>
        <w:rPr>
          <w:rFonts w:ascii="Times New Roman" w:hAnsi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В соответствии с пунктом 3 </w:t>
      </w:r>
      <w:r>
        <w:rPr>
          <w:rFonts w:ascii="Times New Roman" w:hAnsi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Правил N 1156 накопление, сбор, транспортирование, обработка, утилизация, обезвреживание,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</w:t>
      </w:r>
      <w:r>
        <w:rPr>
          <w:rFonts w:ascii="Times New Roman" w:hAnsi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и обеспечения санитарно-эпидемиологического благополучия населения. Осуществление накопления, сбора, транспортирования, обработки, утилизации, обезвреживания, захоронения твердых коммунальных отходов должно быть безопасным для населения и окружающей среды.</w:t>
      </w:r>
      <w:r>
        <w:rPr>
          <w:rFonts w:ascii="Times New Roman" w:hAnsi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br/>
        <w:t xml:space="preserve">Периодичность вывоза ТКО региональным оператором должна соответствовать срокам временного накопления несортированных ТКО, установленным р II п.11 САНПИН 2.1.3684-21.</w:t>
      </w:r>
      <w:r>
        <w:rPr>
          <w:rFonts w:ascii="Times New Roman" w:hAnsi="Times New Roman" w:cs="Times New Roman"/>
          <w:b w:val="0"/>
          <w:bCs w:val="0"/>
          <w:i/>
          <w:iCs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2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5"/>
    <w:link w:val="689"/>
    <w:uiPriority w:val="10"/>
    <w:rPr>
      <w:sz w:val="48"/>
      <w:szCs w:val="48"/>
    </w:rPr>
  </w:style>
  <w:style w:type="character" w:styleId="37">
    <w:name w:val="Subtitle Char"/>
    <w:basedOn w:val="675"/>
    <w:link w:val="691"/>
    <w:uiPriority w:val="11"/>
    <w:rPr>
      <w:sz w:val="24"/>
      <w:szCs w:val="24"/>
    </w:rPr>
  </w:style>
  <w:style w:type="character" w:styleId="39">
    <w:name w:val="Quote Char"/>
    <w:link w:val="693"/>
    <w:uiPriority w:val="29"/>
    <w:rPr>
      <w:i/>
    </w:rPr>
  </w:style>
  <w:style w:type="character" w:styleId="41">
    <w:name w:val="Intense Quote Char"/>
    <w:link w:val="695"/>
    <w:uiPriority w:val="30"/>
    <w:rPr>
      <w:i/>
    </w:rPr>
  </w:style>
  <w:style w:type="character" w:styleId="43">
    <w:name w:val="Header Char"/>
    <w:basedOn w:val="675"/>
    <w:link w:val="697"/>
    <w:uiPriority w:val="99"/>
  </w:style>
  <w:style w:type="character" w:styleId="45">
    <w:name w:val="Footer Char"/>
    <w:basedOn w:val="675"/>
    <w:link w:val="699"/>
    <w:uiPriority w:val="99"/>
  </w:style>
  <w:style w:type="character" w:styleId="47">
    <w:name w:val="Caption Char"/>
    <w:basedOn w:val="675"/>
    <w:link w:val="701"/>
    <w:uiPriority w:val="35"/>
    <w:rPr>
      <w:b/>
      <w:bCs/>
      <w:color w:val="4f81bd" w:themeColor="accent1"/>
      <w:sz w:val="18"/>
      <w:szCs w:val="18"/>
    </w:rPr>
  </w:style>
  <w:style w:type="character" w:styleId="179">
    <w:name w:val="Endnote Text Char"/>
    <w:link w:val="829"/>
    <w:uiPriority w:val="99"/>
    <w:rPr>
      <w:sz w:val="20"/>
    </w:rPr>
  </w:style>
  <w:style w:type="paragraph" w:styleId="665" w:default="1">
    <w:name w:val="Normal"/>
    <w:qFormat/>
  </w:style>
  <w:style w:type="paragraph" w:styleId="666">
    <w:name w:val="Heading 1"/>
    <w:basedOn w:val="665"/>
    <w:next w:val="665"/>
    <w:link w:val="848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67">
    <w:name w:val="Heading 2"/>
    <w:basedOn w:val="665"/>
    <w:next w:val="665"/>
    <w:link w:val="850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68">
    <w:name w:val="Heading 3"/>
    <w:basedOn w:val="665"/>
    <w:next w:val="665"/>
    <w:link w:val="851"/>
    <w:uiPriority w:val="9"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669">
    <w:name w:val="Heading 4"/>
    <w:basedOn w:val="665"/>
    <w:next w:val="665"/>
    <w:link w:val="849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670">
    <w:name w:val="Heading 5"/>
    <w:basedOn w:val="665"/>
    <w:next w:val="665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665"/>
    <w:next w:val="665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2">
    <w:name w:val="Heading 7"/>
    <w:basedOn w:val="665"/>
    <w:next w:val="665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3">
    <w:name w:val="Heading 8"/>
    <w:basedOn w:val="665"/>
    <w:next w:val="66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4">
    <w:name w:val="Heading 9"/>
    <w:basedOn w:val="665"/>
    <w:next w:val="66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Heading 1 Char"/>
    <w:basedOn w:val="675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Heading 2 Char"/>
    <w:basedOn w:val="675"/>
    <w:uiPriority w:val="9"/>
    <w:rPr>
      <w:rFonts w:ascii="Arial" w:hAnsi="Arial" w:eastAsia="Arial" w:cs="Arial"/>
      <w:sz w:val="34"/>
    </w:rPr>
  </w:style>
  <w:style w:type="character" w:styleId="680" w:customStyle="1">
    <w:name w:val="Heading 3 Char"/>
    <w:basedOn w:val="675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Heading 4 Char"/>
    <w:basedOn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665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after="0" w:line="240" w:lineRule="auto"/>
    </w:pPr>
  </w:style>
  <w:style w:type="paragraph" w:styleId="689">
    <w:name w:val="Title"/>
    <w:basedOn w:val="665"/>
    <w:next w:val="66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basedOn w:val="675"/>
    <w:link w:val="689"/>
    <w:uiPriority w:val="10"/>
    <w:rPr>
      <w:sz w:val="48"/>
      <w:szCs w:val="48"/>
    </w:rPr>
  </w:style>
  <w:style w:type="paragraph" w:styleId="691">
    <w:name w:val="Subtitle"/>
    <w:basedOn w:val="665"/>
    <w:next w:val="66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basedOn w:val="675"/>
    <w:link w:val="691"/>
    <w:uiPriority w:val="11"/>
    <w:rPr>
      <w:sz w:val="24"/>
      <w:szCs w:val="24"/>
    </w:rPr>
  </w:style>
  <w:style w:type="paragraph" w:styleId="693">
    <w:name w:val="Quote"/>
    <w:basedOn w:val="665"/>
    <w:next w:val="665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5"/>
    <w:next w:val="665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>
    <w:name w:val="Header"/>
    <w:basedOn w:val="665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 w:customStyle="1">
    <w:name w:val="Верхний колонтитул Знак"/>
    <w:basedOn w:val="675"/>
    <w:link w:val="697"/>
    <w:uiPriority w:val="99"/>
  </w:style>
  <w:style w:type="paragraph" w:styleId="699">
    <w:name w:val="Footer"/>
    <w:basedOn w:val="665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 w:customStyle="1">
    <w:name w:val="Нижний колонтитул Знак"/>
    <w:basedOn w:val="675"/>
    <w:link w:val="699"/>
    <w:uiPriority w:val="99"/>
  </w:style>
  <w:style w:type="paragraph" w:styleId="701">
    <w:name w:val="Caption"/>
    <w:basedOn w:val="665"/>
    <w:next w:val="665"/>
    <w:link w:val="70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2" w:customStyle="1">
    <w:name w:val="Название объекта Знак"/>
    <w:basedOn w:val="675"/>
    <w:link w:val="701"/>
    <w:uiPriority w:val="35"/>
    <w:rPr>
      <w:b/>
      <w:bCs/>
      <w:color w:val="5b9bd5" w:themeColor="accent1"/>
      <w:sz w:val="18"/>
      <w:szCs w:val="18"/>
    </w:rPr>
  </w:style>
  <w:style w:type="table" w:styleId="703" w:customStyle="1">
    <w:name w:val="Table Grid Light"/>
    <w:basedOn w:val="67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2" w:customStyle="1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6" w:customStyle="1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6" w:customStyle="1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0" w:customStyle="1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1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2" w:customStyle="1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3" w:customStyle="1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4" w:customStyle="1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5" w:customStyle="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5" w:customStyle="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9" w:customStyle="1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ned - Accent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9" w:customStyle="1">
    <w:name w:val="Lined - Accent 2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3" w:customStyle="1">
    <w:name w:val="Lined - Accent 6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Bordered &amp; Lined - Accent 2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Bordered &amp; Lined - Accent 6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3" w:customStyle="1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7" w:customStyle="1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 w:customStyle="1">
    <w:name w:val="Footnote Text Char"/>
    <w:uiPriority w:val="99"/>
    <w:rPr>
      <w:sz w:val="18"/>
    </w:rPr>
  </w:style>
  <w:style w:type="paragraph" w:styleId="829">
    <w:name w:val="endnote text"/>
    <w:basedOn w:val="665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5"/>
    <w:uiPriority w:val="99"/>
    <w:semiHidden/>
    <w:unhideWhenUsed/>
    <w:rPr>
      <w:vertAlign w:val="superscript"/>
    </w:rPr>
  </w:style>
  <w:style w:type="paragraph" w:styleId="832">
    <w:name w:val="toc 1"/>
    <w:basedOn w:val="665"/>
    <w:next w:val="665"/>
    <w:uiPriority w:val="39"/>
    <w:unhideWhenUsed/>
    <w:pPr>
      <w:spacing w:after="57"/>
    </w:pPr>
  </w:style>
  <w:style w:type="paragraph" w:styleId="833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34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35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36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37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38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39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40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5"/>
    <w:next w:val="665"/>
    <w:uiPriority w:val="99"/>
    <w:unhideWhenUsed/>
    <w:pPr>
      <w:spacing w:after="0"/>
    </w:p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45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character" w:styleId="846">
    <w:name w:val="Hyperlink"/>
    <w:basedOn w:val="675"/>
    <w:uiPriority w:val="99"/>
    <w:unhideWhenUsed/>
    <w:rPr>
      <w:color w:val="0563c1" w:themeColor="hyperlink"/>
      <w:u w:val="single"/>
    </w:rPr>
  </w:style>
  <w:style w:type="table" w:styleId="847">
    <w:name w:val="Table Grid"/>
    <w:basedOn w:val="676"/>
    <w:uiPriority w:val="39"/>
    <w:pPr>
      <w:spacing w:after="0" w:line="240" w:lineRule="auto"/>
      <w:widowControl w:val="off"/>
    </w:pPr>
    <w:rPr>
      <w:rFonts w:ascii="Courier New" w:hAnsi="Courier New" w:eastAsia="Courier New" w:cs="Courier New"/>
      <w:sz w:val="24"/>
      <w:szCs w:val="24"/>
      <w:lang w:eastAsia="ru-RU" w:bidi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8" w:customStyle="1">
    <w:name w:val="Заголовок 1 Знак"/>
    <w:basedOn w:val="675"/>
    <w:link w:val="66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49" w:customStyle="1">
    <w:name w:val="Заголовок 4 Знак"/>
    <w:basedOn w:val="675"/>
    <w:link w:val="669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850" w:customStyle="1">
    <w:name w:val="Заголовок 2 Знак"/>
    <w:basedOn w:val="675"/>
    <w:link w:val="667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51" w:customStyle="1">
    <w:name w:val="Заголовок 3 Знак"/>
    <w:basedOn w:val="675"/>
    <w:link w:val="668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852">
    <w:name w:val="Unresolved Mention"/>
    <w:basedOn w:val="675"/>
    <w:uiPriority w:val="99"/>
    <w:semiHidden/>
    <w:unhideWhenUsed/>
    <w:rPr>
      <w:color w:val="605e5c"/>
      <w:shd w:val="clear" w:color="auto" w:fill="e1dfdd"/>
    </w:rPr>
  </w:style>
  <w:style w:type="paragraph" w:styleId="853">
    <w:name w:val="footnote text"/>
    <w:basedOn w:val="665"/>
    <w:link w:val="85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4" w:customStyle="1">
    <w:name w:val="Текст сноски Знак"/>
    <w:basedOn w:val="675"/>
    <w:link w:val="853"/>
    <w:uiPriority w:val="99"/>
    <w:semiHidden/>
    <w:rPr>
      <w:sz w:val="20"/>
      <w:szCs w:val="20"/>
    </w:rPr>
  </w:style>
  <w:style w:type="character" w:styleId="855">
    <w:name w:val="footnote reference"/>
    <w:basedOn w:val="67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ogks@atnet.ru" TargetMode="External"/><Relationship Id="rId10" Type="http://schemas.openxmlformats.org/officeDocument/2006/relationships/hyperlink" Target="http://www.pravo.gov.ru/" TargetMode="External"/><Relationship Id="rId11" Type="http://schemas.openxmlformats.org/officeDocument/2006/relationships/hyperlink" Target="https://login.consultant.ru/link/?req=doc&amp;base=LAW&amp;n=307322&amp;dst=100008" TargetMode="External"/><Relationship Id="rId12" Type="http://schemas.openxmlformats.org/officeDocument/2006/relationships/hyperlink" Target="https://login.consultant.ru/link/?req=doc&amp;base=LAW&amp;n=307322&amp;dst=100008" TargetMode="External"/><Relationship Id="rId13" Type="http://schemas.openxmlformats.org/officeDocument/2006/relationships/hyperlink" Target="https://login.consultant.ru/link/?req=doc&amp;base=LAW&amp;n=12453&amp;dst=100163" TargetMode="External"/><Relationship Id="rId14" Type="http://schemas.openxmlformats.org/officeDocument/2006/relationships/hyperlink" Target="https://login.consultant.ru/link/?req=doc&amp;base=LAW&amp;n=471232" TargetMode="External"/><Relationship Id="rId15" Type="http://schemas.openxmlformats.org/officeDocument/2006/relationships/hyperlink" Target="mailto:42960@sgks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8C5C-45B3-4F03-B452-1C5C3037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urist05</dc:creator>
  <cp:keywords/>
  <dc:description/>
  <cp:lastModifiedBy>Степан Чуклин</cp:lastModifiedBy>
  <cp:revision>10</cp:revision>
  <dcterms:created xsi:type="dcterms:W3CDTF">2025-01-10T08:00:00Z</dcterms:created>
  <dcterms:modified xsi:type="dcterms:W3CDTF">2025-01-16T09:08:39Z</dcterms:modified>
</cp:coreProperties>
</file>